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49" w:rsidRDefault="003E7249" w:rsidP="003E7249">
      <w:pPr>
        <w:overflowPunct w:val="0"/>
        <w:spacing w:line="590" w:lineRule="exac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:rsidR="003E7249" w:rsidRDefault="003E7249" w:rsidP="003E7249">
      <w:pPr>
        <w:overflowPunct w:val="0"/>
        <w:spacing w:line="590" w:lineRule="exact"/>
        <w:rPr>
          <w:sz w:val="44"/>
          <w:szCs w:val="44"/>
        </w:rPr>
      </w:pPr>
    </w:p>
    <w:p w:rsidR="003E7249" w:rsidRDefault="003E7249" w:rsidP="003E7249">
      <w:pPr>
        <w:overflowPunct w:val="0"/>
        <w:spacing w:line="590" w:lineRule="exact"/>
        <w:jc w:val="center"/>
        <w:rPr>
          <w:rFonts w:hAnsi="宋体" w:hint="eastAsia"/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浙江省残疾人大额辅助器具购买补贴目录</w:t>
      </w:r>
    </w:p>
    <w:p w:rsidR="003E7249" w:rsidRDefault="003E7249" w:rsidP="003E7249">
      <w:pPr>
        <w:overflowPunct w:val="0"/>
        <w:spacing w:line="590" w:lineRule="exact"/>
        <w:jc w:val="center"/>
        <w:rPr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560"/>
        <w:gridCol w:w="868"/>
        <w:gridCol w:w="630"/>
        <w:gridCol w:w="3429"/>
        <w:gridCol w:w="627"/>
        <w:gridCol w:w="927"/>
        <w:gridCol w:w="679"/>
        <w:gridCol w:w="536"/>
      </w:tblGrid>
      <w:tr w:rsidR="003E7249" w:rsidTr="00977A23">
        <w:trPr>
          <w:trHeight w:val="624"/>
          <w:tblHeader/>
          <w:jc w:val="center"/>
        </w:trPr>
        <w:tc>
          <w:tcPr>
            <w:tcW w:w="589" w:type="dxa"/>
            <w:vAlign w:val="center"/>
          </w:tcPr>
          <w:p w:rsidR="003E7249" w:rsidRDefault="003E7249" w:rsidP="00977A23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>辅具类别</w:t>
            </w: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序号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名称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单位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适</w:t>
            </w: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/>
                <w:bCs/>
                <w:kern w:val="0"/>
                <w:szCs w:val="21"/>
              </w:rPr>
              <w:t>用</w:t>
            </w: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/>
                <w:bCs/>
                <w:kern w:val="0"/>
                <w:szCs w:val="21"/>
              </w:rPr>
              <w:t>对</w:t>
            </w:r>
            <w:r>
              <w:rPr>
                <w:rFonts w:ascii="黑体" w:eastAsia="黑体" w:hAnsi="黑体" w:hint="eastAsia"/>
                <w:bCs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黑体" w:eastAsia="黑体" w:hAnsi="黑体"/>
                <w:bCs/>
                <w:kern w:val="0"/>
                <w:szCs w:val="21"/>
              </w:rPr>
              <w:t>象</w:t>
            </w:r>
            <w:proofErr w:type="gramEnd"/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使用年限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招标</w:t>
            </w:r>
          </w:p>
          <w:p w:rsidR="003E7249" w:rsidRDefault="003E7249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参考价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评估</w:t>
            </w:r>
          </w:p>
          <w:p w:rsidR="003E7249" w:rsidRDefault="003E7249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级别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Cs w:val="21"/>
              </w:rPr>
              <w:t>备注</w:t>
            </w: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 w:val="restart"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t>个</w:t>
            </w:r>
          </w:p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t>人</w:t>
            </w:r>
          </w:p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t xml:space="preserve">移 </w:t>
            </w:r>
          </w:p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t>动</w:t>
            </w:r>
          </w:p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t>辅</w:t>
            </w:r>
          </w:p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t>具</w:t>
            </w: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普通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轮椅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辆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适用于下肢残疾，需借助轮椅长距离移动的残疾人。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600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964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活扶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手轮椅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辆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适用于长时间乘坐轮椅，且需在轮椅上进行位置转移的截瘫、偏瘫等残疾人。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800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964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高靠背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轮椅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辆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适用于难以在轮椅上保持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坐姿但</w:t>
            </w:r>
            <w:proofErr w:type="gramEnd"/>
            <w:r>
              <w:rPr>
                <w:rFonts w:eastAsia="仿宋_GB2312"/>
                <w:kern w:val="0"/>
                <w:szCs w:val="21"/>
              </w:rPr>
              <w:t>需较长时间依赖轮椅移动的重度肢体残疾人。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1200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1020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4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运动式生活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轮椅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辆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适用于能够自行驱动轮椅、上肢臂力较好、身体控制能力强、需长期依赖轮椅生活的截瘫等残疾人。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3000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1247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5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电动轮椅（室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内型）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辆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适用于需借助轮椅生活、不具备使用手动轮椅能力、经评估有单手能够操控轮椅控制器、无认知障碍的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四肢瘫等重度</w:t>
            </w:r>
            <w:proofErr w:type="gramEnd"/>
            <w:r>
              <w:rPr>
                <w:rFonts w:eastAsia="仿宋_GB2312"/>
                <w:kern w:val="0"/>
                <w:szCs w:val="21"/>
              </w:rPr>
              <w:t>肢体残疾人。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5000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964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6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手摇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三轮车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辆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适用于下肢残疾，但身体功能较好，具备操控能力、需较长距离户外移动的残疾人。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1000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 w:val="restart"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  <w:r>
              <w:rPr>
                <w:rFonts w:ascii="楷体_GB2312" w:eastAsia="楷体_GB2312" w:hint="eastAsia"/>
                <w:bCs/>
                <w:kern w:val="0"/>
                <w:szCs w:val="21"/>
              </w:rPr>
              <w:t>个人生活自理和防护辅具</w:t>
            </w: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7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多功能护理床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张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适用于长期卧床无法自行起身的重度残疾人。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2250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8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防压疮床垫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张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适用于长时间卧床、无法自行翻身的重度残疾人。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1300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bCs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防压疮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座垫</w:t>
            </w:r>
            <w:proofErr w:type="gramEnd"/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张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适用于需长时间乘坐轮椅的残疾人。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700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 w:val="restart"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下肢假肢</w:t>
            </w: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10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足部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假肢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适用于部分足截肢，经评估适合装配的残疾人。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6000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11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赛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姆</w:t>
            </w:r>
            <w:proofErr w:type="gramEnd"/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假肢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适用于踝部截肢、赛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姆</w:t>
            </w:r>
            <w:proofErr w:type="gramEnd"/>
            <w:r>
              <w:rPr>
                <w:rFonts w:eastAsia="仿宋_GB2312"/>
                <w:kern w:val="0"/>
                <w:szCs w:val="21"/>
              </w:rPr>
              <w:t>截肢或小腿残肢过长，经评估适合装配的残疾人。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6000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 w:val="restart"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下肢假肢</w:t>
            </w: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12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小腿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假肢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适用于小腿截肢，经评估适合装配的残疾人。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7000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24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13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膝部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假肢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适用于膝关节离断、小腿极短残肢、大腿残肢过长，经评估适合装配的残疾人</w:t>
            </w:r>
            <w:r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10000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14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大腿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假肢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适用于大腿截肢者，经评估适合装配的残疾人。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16000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15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髋部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假肢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适用于髋关节离断或大腿残肢过短，经评估适合装配的残疾人。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20000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 w:val="restart"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上肢假肢</w:t>
            </w: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16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手部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假肢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适用于单个手指或多个手指缺损者，掌骨截肢者。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2000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17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腕离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断假肢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腕</w:t>
            </w:r>
            <w:proofErr w:type="gramEnd"/>
            <w:r>
              <w:rPr>
                <w:rFonts w:eastAsia="仿宋_GB2312"/>
                <w:kern w:val="0"/>
                <w:szCs w:val="21"/>
              </w:rPr>
              <w:t>离断或前臂长残肢的截肢者。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3500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18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前臂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假肢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适用于前臂截肢者。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3875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19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肘离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断假肢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肘</w:t>
            </w:r>
            <w:proofErr w:type="gramEnd"/>
            <w:r>
              <w:rPr>
                <w:rFonts w:eastAsia="仿宋_GB2312"/>
                <w:kern w:val="0"/>
                <w:szCs w:val="21"/>
              </w:rPr>
              <w:t>离断或上臂残肢过长、前臂极短残肢的截肢者。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5500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20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上臂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假肢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适用于上臂截肢者。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5500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Merge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21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肩部</w:t>
            </w:r>
          </w:p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假肢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具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</w:t>
            </w:r>
            <w:proofErr w:type="gramStart"/>
            <w:r>
              <w:rPr>
                <w:rFonts w:eastAsia="仿宋_GB2312"/>
                <w:kern w:val="0"/>
                <w:szCs w:val="21"/>
              </w:rPr>
              <w:t>肩</w:t>
            </w:r>
            <w:proofErr w:type="gramEnd"/>
            <w:r>
              <w:rPr>
                <w:rFonts w:eastAsia="仿宋_GB2312"/>
                <w:kern w:val="0"/>
                <w:szCs w:val="21"/>
              </w:rPr>
              <w:t>离断或上臂残肢过短的截肢者。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6000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964"/>
          <w:jc w:val="center"/>
        </w:trPr>
        <w:tc>
          <w:tcPr>
            <w:tcW w:w="589" w:type="dxa"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Cs w:val="21"/>
              </w:rPr>
              <w:t>沟通和信息类</w:t>
            </w: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22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助听器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台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适用于有残余听力的听力残疾人。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3000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3E7249" w:rsidTr="00977A23">
        <w:trPr>
          <w:trHeight w:val="680"/>
          <w:jc w:val="center"/>
        </w:trPr>
        <w:tc>
          <w:tcPr>
            <w:tcW w:w="589" w:type="dxa"/>
            <w:vAlign w:val="center"/>
          </w:tcPr>
          <w:p w:rsidR="003E7249" w:rsidRDefault="003E7249" w:rsidP="00977A23">
            <w:pPr>
              <w:jc w:val="center"/>
              <w:rPr>
                <w:rFonts w:ascii="楷体_GB2312" w:eastAsia="楷体_GB2312" w:hint="eastAsia"/>
                <w:kern w:val="0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23</w:t>
            </w:r>
          </w:p>
        </w:tc>
        <w:tc>
          <w:tcPr>
            <w:tcW w:w="868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盲人智能眼镜</w:t>
            </w:r>
          </w:p>
        </w:tc>
        <w:tc>
          <w:tcPr>
            <w:tcW w:w="630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台</w:t>
            </w:r>
          </w:p>
        </w:tc>
        <w:tc>
          <w:tcPr>
            <w:tcW w:w="3429" w:type="dxa"/>
            <w:vAlign w:val="center"/>
          </w:tcPr>
          <w:p w:rsidR="003E7249" w:rsidRDefault="003E7249" w:rsidP="00977A23">
            <w:pPr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适用于视力一、二级盲人</w:t>
            </w:r>
            <w:r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  <w:tc>
          <w:tcPr>
            <w:tcW w:w="627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 w:rsidR="003E7249" w:rsidRDefault="003E7249" w:rsidP="00977A23">
            <w:pPr>
              <w:jc w:val="center"/>
            </w:pPr>
            <w:r>
              <w:t>3000</w:t>
            </w:r>
          </w:p>
        </w:tc>
        <w:tc>
          <w:tcPr>
            <w:tcW w:w="679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县级</w:t>
            </w:r>
          </w:p>
        </w:tc>
        <w:tc>
          <w:tcPr>
            <w:tcW w:w="536" w:type="dxa"/>
            <w:vAlign w:val="center"/>
          </w:tcPr>
          <w:p w:rsidR="003E7249" w:rsidRDefault="003E7249" w:rsidP="00977A2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83691F" w:rsidRDefault="003E7249">
      <w:r>
        <w:rPr>
          <w:rFonts w:eastAsia="仿宋_GB2312"/>
          <w:sz w:val="32"/>
          <w:szCs w:val="32"/>
        </w:rPr>
        <w:br w:type="page"/>
      </w:r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694" w:rsidRDefault="00346694" w:rsidP="003E7249">
      <w:r>
        <w:separator/>
      </w:r>
    </w:p>
  </w:endnote>
  <w:endnote w:type="continuationSeparator" w:id="0">
    <w:p w:rsidR="00346694" w:rsidRDefault="00346694" w:rsidP="003E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694" w:rsidRDefault="00346694" w:rsidP="003E7249">
      <w:r>
        <w:separator/>
      </w:r>
    </w:p>
  </w:footnote>
  <w:footnote w:type="continuationSeparator" w:id="0">
    <w:p w:rsidR="00346694" w:rsidRDefault="00346694" w:rsidP="003E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EC"/>
    <w:rsid w:val="00275FEC"/>
    <w:rsid w:val="00346694"/>
    <w:rsid w:val="003E7249"/>
    <w:rsid w:val="004E3A55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2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2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2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1074</Characters>
  <Application>Microsoft Office Word</Application>
  <DocSecurity>0</DocSecurity>
  <Lines>8</Lines>
  <Paragraphs>2</Paragraphs>
  <ScaleCrop>false</ScaleCrop>
  <Company>MS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2023-08-11T00:43:00Z</dcterms:created>
  <dcterms:modified xsi:type="dcterms:W3CDTF">2023-08-11T00:57:00Z</dcterms:modified>
</cp:coreProperties>
</file>